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E6FB91">
      <w:pPr>
        <w:pStyle w:val="23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 w14:paraId="24923DF2">
      <w:pPr>
        <w:pStyle w:val="23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中国人民大学第十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届青年教师教学</w:t>
      </w:r>
    </w:p>
    <w:p w14:paraId="6AB9637E">
      <w:pPr>
        <w:pStyle w:val="23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基本功比赛评价细则</w:t>
      </w:r>
    </w:p>
    <w:p w14:paraId="0B674E2E">
      <w:pPr>
        <w:pStyle w:val="23"/>
        <w:ind w:firstLine="643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b/>
          <w:bCs/>
          <w:color w:val="000000"/>
          <w:sz w:val="32"/>
          <w:szCs w:val="32"/>
        </w:rPr>
        <w:t>一、评委构成</w:t>
      </w:r>
    </w:p>
    <w:p w14:paraId="25DCF11D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文科类、理工类比赛评委由专家评委和学生评委共同组成，每类包括5~7名专家评委、5~7名学生评委。</w:t>
      </w:r>
    </w:p>
    <w:p w14:paraId="319046A4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专家评委按照学科兼顾、类别多样的原则，从全国及</w:t>
      </w:r>
      <w:bookmarkStart w:id="0" w:name="_GoBack"/>
      <w:bookmarkEnd w:id="0"/>
      <w:r>
        <w:rPr>
          <w:rFonts w:hint="eastAsia" w:eastAsia="仿宋"/>
          <w:color w:val="000000"/>
          <w:sz w:val="32"/>
          <w:szCs w:val="32"/>
        </w:rPr>
        <w:t>北京市历届青教赛专家评委，我校国家教学名师、北京市教学名师，我校参加全国赛</w:t>
      </w:r>
      <w:r>
        <w:rPr>
          <w:rFonts w:hint="eastAsia" w:eastAsia="仿宋"/>
          <w:color w:val="000000"/>
          <w:sz w:val="32"/>
          <w:szCs w:val="32"/>
          <w:lang w:eastAsia="zh-CN"/>
        </w:rPr>
        <w:t>、</w:t>
      </w:r>
      <w:r>
        <w:rPr>
          <w:rFonts w:hint="eastAsia" w:eastAsia="仿宋"/>
          <w:color w:val="000000"/>
          <w:sz w:val="32"/>
          <w:szCs w:val="32"/>
        </w:rPr>
        <w:t>北京市赛指导教师及获奖选手，以及相关资深教学专家、教学部门负责人等组成的评委库中产生。专家评委要参加全部比赛，保证全勤。</w:t>
      </w:r>
    </w:p>
    <w:p w14:paraId="5E0917D8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学生评委为本科生或研究生，所学专业为本类别赛事的学科门类。学生评委要参加全部比赛，保证全勤。</w:t>
      </w:r>
    </w:p>
    <w:p w14:paraId="543477ED">
      <w:pPr>
        <w:pStyle w:val="23"/>
        <w:ind w:firstLine="643" w:firstLineChars="200"/>
        <w:rPr>
          <w:rFonts w:eastAsia="仿宋"/>
          <w:b/>
          <w:bCs/>
          <w:color w:val="000000"/>
          <w:sz w:val="32"/>
          <w:szCs w:val="32"/>
        </w:rPr>
      </w:pPr>
      <w:r>
        <w:rPr>
          <w:rFonts w:hint="eastAsia" w:eastAsia="仿宋"/>
          <w:b/>
          <w:bCs/>
          <w:color w:val="000000"/>
          <w:sz w:val="32"/>
          <w:szCs w:val="32"/>
        </w:rPr>
        <w:t>二、评分办法</w:t>
      </w:r>
    </w:p>
    <w:p w14:paraId="0DDC582A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专家评委对选手教学设计和现场展示两个环节进行评分，学生评委仅对选手现场展示环节进行评分。</w:t>
      </w:r>
    </w:p>
    <w:p w14:paraId="1AD4536E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选手比赛满分100分，其中教学设计30分、现场展示专家评价60分、现场展示学生评价10分。</w:t>
      </w:r>
    </w:p>
    <w:p w14:paraId="3E3E9D10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每位选手的最终得分，取相应专家评委和学生评委打分的平均分。</w:t>
      </w:r>
    </w:p>
    <w:p w14:paraId="20C57212">
      <w:pPr>
        <w:pStyle w:val="23"/>
        <w:ind w:firstLine="640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color w:val="000000"/>
          <w:sz w:val="32"/>
          <w:szCs w:val="32"/>
        </w:rPr>
        <w:t>选手综合评价总分S=∑（S1，S2，S3），其中：S1为选手教学设计环节全部专家评委打分的平均分（保留3位小数）；S2为选手现场展示环节全部专家评委打分的平均分（保留3位小数）；S3为选手现场展示环节全部学生评委打分的平均分（保留3位小数）。</w:t>
      </w:r>
    </w:p>
    <w:p w14:paraId="380FD6C7">
      <w:pPr>
        <w:pStyle w:val="23"/>
        <w:ind w:firstLine="643" w:firstLineChars="200"/>
        <w:rPr>
          <w:rFonts w:eastAsia="仿宋"/>
          <w:color w:val="000000"/>
          <w:sz w:val="32"/>
          <w:szCs w:val="32"/>
        </w:rPr>
      </w:pPr>
      <w:r>
        <w:rPr>
          <w:rFonts w:hint="eastAsia" w:eastAsia="仿宋"/>
          <w:b/>
          <w:bCs/>
          <w:sz w:val="32"/>
          <w:szCs w:val="32"/>
        </w:rPr>
        <w:t>三、评价指标</w:t>
      </w:r>
    </w:p>
    <w:p w14:paraId="165AF227">
      <w:pPr>
        <w:ind w:firstLine="321" w:firstLineChars="100"/>
        <w:rPr>
          <w:rFonts w:ascii="Times New Roman" w:hAnsi="Times New Roman" w:eastAsia="仿宋"/>
          <w:b/>
          <w:bCs/>
          <w:sz w:val="32"/>
          <w:szCs w:val="32"/>
        </w:rPr>
      </w:pPr>
      <w:r>
        <w:rPr>
          <w:rFonts w:hint="eastAsia" w:ascii="Times New Roman" w:hAnsi="Times New Roman" w:eastAsia="仿宋" w:cs="楷体_GB2312"/>
          <w:b/>
          <w:bCs/>
          <w:color w:val="000000"/>
          <w:sz w:val="32"/>
          <w:szCs w:val="32"/>
        </w:rPr>
        <w:t>（1）教学设计评价指标</w:t>
      </w:r>
      <w:r>
        <w:rPr>
          <w:rFonts w:hint="eastAsia" w:ascii="Times New Roman" w:hAnsi="Times New Roman" w:eastAsia="仿宋" w:cs="楷体_GB2312"/>
          <w:color w:val="000000"/>
          <w:sz w:val="32"/>
          <w:szCs w:val="32"/>
        </w:rPr>
        <w:t>（量表满分30分，占总分30分）</w:t>
      </w:r>
    </w:p>
    <w:tbl>
      <w:tblPr>
        <w:tblStyle w:val="1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1985"/>
        <w:gridCol w:w="2126"/>
        <w:gridCol w:w="2126"/>
        <w:gridCol w:w="1585"/>
      </w:tblGrid>
      <w:tr w14:paraId="09D64A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934" w:type="dxa"/>
            <w:vAlign w:val="center"/>
          </w:tcPr>
          <w:p w14:paraId="763F5075">
            <w:pPr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  <w:szCs w:val="28"/>
              </w:rPr>
              <w:t>评价标准</w:t>
            </w:r>
          </w:p>
        </w:tc>
        <w:tc>
          <w:tcPr>
            <w:tcW w:w="1985" w:type="dxa"/>
            <w:vAlign w:val="center"/>
          </w:tcPr>
          <w:p w14:paraId="06175E1B">
            <w:pPr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  <w:szCs w:val="28"/>
              </w:rPr>
              <w:t>教学目的</w:t>
            </w:r>
          </w:p>
        </w:tc>
        <w:tc>
          <w:tcPr>
            <w:tcW w:w="2126" w:type="dxa"/>
            <w:vAlign w:val="center"/>
          </w:tcPr>
          <w:p w14:paraId="48AAB399">
            <w:pPr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  <w:szCs w:val="28"/>
              </w:rPr>
              <w:t>教学内容</w:t>
            </w:r>
          </w:p>
        </w:tc>
        <w:tc>
          <w:tcPr>
            <w:tcW w:w="2126" w:type="dxa"/>
            <w:vAlign w:val="center"/>
          </w:tcPr>
          <w:p w14:paraId="79EFE5DF">
            <w:pPr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  <w:szCs w:val="28"/>
              </w:rPr>
              <w:t>教学形式</w:t>
            </w:r>
          </w:p>
        </w:tc>
        <w:tc>
          <w:tcPr>
            <w:tcW w:w="1585" w:type="dxa"/>
            <w:vAlign w:val="center"/>
          </w:tcPr>
          <w:p w14:paraId="7C8EA888">
            <w:pPr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  <w:szCs w:val="28"/>
              </w:rPr>
              <w:t>教学手段</w:t>
            </w:r>
          </w:p>
        </w:tc>
      </w:tr>
      <w:tr w14:paraId="0986476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934" w:type="dxa"/>
            <w:vAlign w:val="center"/>
          </w:tcPr>
          <w:p w14:paraId="7C4E2D16">
            <w:pPr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标准说明</w:t>
            </w:r>
          </w:p>
        </w:tc>
        <w:tc>
          <w:tcPr>
            <w:tcW w:w="1985" w:type="dxa"/>
            <w:vAlign w:val="center"/>
          </w:tcPr>
          <w:p w14:paraId="32F075AE">
            <w:pPr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教学目标明确，符合课程大纲的要求，注重学生全面发展。</w:t>
            </w:r>
          </w:p>
        </w:tc>
        <w:tc>
          <w:tcPr>
            <w:tcW w:w="2126" w:type="dxa"/>
            <w:vAlign w:val="center"/>
          </w:tcPr>
          <w:p w14:paraId="0207BE5B">
            <w:pPr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教学内容凸显立德树人理念和课程思政要求，无科学性错误，内容的顺序安排符合专业学科逻辑，容量合适，理论联系实际，符合学生特点。</w:t>
            </w:r>
          </w:p>
        </w:tc>
        <w:tc>
          <w:tcPr>
            <w:tcW w:w="2126" w:type="dxa"/>
            <w:vAlign w:val="center"/>
          </w:tcPr>
          <w:p w14:paraId="4D74A4C8">
            <w:pPr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教学过程突出学生的主体性，教与学的活动有机结合，教学策略选择正确，注重调动学生的学习积极性。</w:t>
            </w:r>
          </w:p>
        </w:tc>
        <w:tc>
          <w:tcPr>
            <w:tcW w:w="1585" w:type="dxa"/>
            <w:vAlign w:val="center"/>
          </w:tcPr>
          <w:p w14:paraId="7A792A88">
            <w:pPr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正确选择使用各种教学媒体，充分考虑教学重点和难点，进行有针对性的分析与设计。</w:t>
            </w:r>
          </w:p>
        </w:tc>
      </w:tr>
      <w:tr w14:paraId="243DE5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934" w:type="dxa"/>
            <w:vAlign w:val="center"/>
          </w:tcPr>
          <w:p w14:paraId="32648BA1">
            <w:pPr>
              <w:jc w:val="left"/>
              <w:rPr>
                <w:rFonts w:ascii="Times New Roman" w:hAnsi="Times New Roman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分值</w:t>
            </w:r>
          </w:p>
        </w:tc>
        <w:tc>
          <w:tcPr>
            <w:tcW w:w="1985" w:type="dxa"/>
            <w:vAlign w:val="center"/>
          </w:tcPr>
          <w:p w14:paraId="1B093BB6">
            <w:pPr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14:paraId="02CE96B5">
            <w:pPr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2126" w:type="dxa"/>
            <w:vAlign w:val="center"/>
          </w:tcPr>
          <w:p w14:paraId="0D3592E3">
            <w:pPr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585" w:type="dxa"/>
            <w:vAlign w:val="center"/>
          </w:tcPr>
          <w:p w14:paraId="40F0BB84">
            <w:pPr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szCs w:val="28"/>
              </w:rPr>
              <w:t>7</w:t>
            </w:r>
          </w:p>
        </w:tc>
      </w:tr>
    </w:tbl>
    <w:p w14:paraId="78AFC48D">
      <w:pPr>
        <w:ind w:firstLine="320" w:firstLineChars="100"/>
        <w:rPr>
          <w:rFonts w:ascii="Times New Roman" w:hAnsi="Times New Roman" w:eastAsia="仿宋"/>
          <w:sz w:val="32"/>
          <w:szCs w:val="32"/>
        </w:rPr>
      </w:pPr>
    </w:p>
    <w:p w14:paraId="483E278B">
      <w:pPr>
        <w:ind w:firstLine="320" w:firstLineChars="100"/>
        <w:rPr>
          <w:rFonts w:ascii="Times New Roman" w:hAnsi="Times New Roman" w:eastAsia="仿宋"/>
          <w:sz w:val="32"/>
          <w:szCs w:val="32"/>
        </w:rPr>
      </w:pPr>
    </w:p>
    <w:p w14:paraId="5D756862">
      <w:pPr>
        <w:ind w:firstLine="320" w:firstLineChars="100"/>
        <w:rPr>
          <w:rFonts w:ascii="Times New Roman" w:hAnsi="Times New Roman" w:eastAsia="仿宋"/>
          <w:b/>
          <w:bCs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br w:type="page"/>
      </w:r>
      <w:r>
        <w:rPr>
          <w:rFonts w:hint="eastAsia" w:ascii="Times New Roman" w:hAnsi="Times New Roman" w:eastAsia="仿宋" w:cs="楷体_GB2312"/>
          <w:b/>
          <w:bCs/>
          <w:color w:val="000000"/>
          <w:sz w:val="32"/>
          <w:szCs w:val="32"/>
        </w:rPr>
        <w:t>（2）现场展示专家评委评价指标</w:t>
      </w:r>
    </w:p>
    <w:p w14:paraId="30520165">
      <w:pPr>
        <w:jc w:val="center"/>
        <w:rPr>
          <w:rFonts w:ascii="Times New Roman" w:hAnsi="Times New Roman" w:eastAsia="仿宋"/>
          <w:b/>
          <w:sz w:val="32"/>
          <w:szCs w:val="32"/>
        </w:rPr>
      </w:pPr>
      <w:r>
        <w:rPr>
          <w:rFonts w:hint="eastAsia" w:ascii="Times New Roman" w:hAnsi="Times New Roman" w:eastAsia="仿宋"/>
          <w:b/>
          <w:sz w:val="32"/>
          <w:szCs w:val="32"/>
        </w:rPr>
        <w:t>文科类赛事评价指标</w:t>
      </w:r>
    </w:p>
    <w:p w14:paraId="613F599A">
      <w:pPr>
        <w:jc w:val="center"/>
        <w:rPr>
          <w:rFonts w:ascii="Times New Roman" w:hAnsi="Times New Roman" w:eastAsia="仿宋"/>
          <w:b/>
          <w:sz w:val="32"/>
          <w:szCs w:val="32"/>
        </w:rPr>
      </w:pPr>
      <w:r>
        <w:rPr>
          <w:rFonts w:hint="eastAsia" w:ascii="Times New Roman" w:hAnsi="Times New Roman" w:eastAsia="仿宋" w:cs="楷体_GB2312"/>
          <w:color w:val="000000"/>
          <w:sz w:val="32"/>
          <w:szCs w:val="32"/>
        </w:rPr>
        <w:t>（量表满分100分，加权后占总分60分）</w:t>
      </w:r>
    </w:p>
    <w:tbl>
      <w:tblPr>
        <w:tblStyle w:val="12"/>
        <w:tblW w:w="4802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6105"/>
        <w:gridCol w:w="1168"/>
      </w:tblGrid>
      <w:tr w14:paraId="5FEE6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57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4A2CE5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</w:rPr>
              <w:t>一级指标</w:t>
            </w:r>
          </w:p>
        </w:tc>
        <w:tc>
          <w:tcPr>
            <w:tcW w:w="372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58EE8BE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</w:rPr>
              <w:t>二级指标</w:t>
            </w:r>
          </w:p>
        </w:tc>
        <w:tc>
          <w:tcPr>
            <w:tcW w:w="71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BFF8482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</w:rPr>
              <w:t>分值</w:t>
            </w:r>
          </w:p>
        </w:tc>
      </w:tr>
      <w:tr w14:paraId="49584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57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729D3F7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教学内容33%</w:t>
            </w:r>
          </w:p>
        </w:tc>
        <w:tc>
          <w:tcPr>
            <w:tcW w:w="372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9287949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1.凸显立德树人和课程思政的要求。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87CEB05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10</w:t>
            </w:r>
          </w:p>
        </w:tc>
      </w:tr>
      <w:tr w14:paraId="47DF7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57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5CD76DF">
            <w:pPr>
              <w:widowControl/>
              <w:spacing w:line="400" w:lineRule="exact"/>
              <w:jc w:val="lef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</w:p>
        </w:tc>
        <w:tc>
          <w:tcPr>
            <w:tcW w:w="372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DBBD54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2.体现专业育人目标和特色。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34247F1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10</w:t>
            </w:r>
          </w:p>
        </w:tc>
      </w:tr>
      <w:tr w14:paraId="5C291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57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398CFA8">
            <w:pPr>
              <w:widowControl/>
              <w:spacing w:line="400" w:lineRule="exact"/>
              <w:jc w:val="lef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</w:p>
        </w:tc>
        <w:tc>
          <w:tcPr>
            <w:tcW w:w="372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978833A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3.体现优秀的学科素养和专业水准，反映学科发展前沿。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E242713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5</w:t>
            </w:r>
          </w:p>
        </w:tc>
      </w:tr>
      <w:tr w14:paraId="7E6CB9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57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E3DA2E1">
            <w:pPr>
              <w:widowControl/>
              <w:spacing w:line="400" w:lineRule="exact"/>
              <w:jc w:val="lef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</w:p>
        </w:tc>
        <w:tc>
          <w:tcPr>
            <w:tcW w:w="372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F743667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4.教学目标明确，内容充实，重点突出，条理清楚，循序渐进，具有一定的难度、深度和广度。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D8514E2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8</w:t>
            </w:r>
          </w:p>
        </w:tc>
      </w:tr>
      <w:tr w14:paraId="17803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57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1792632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教学组织</w:t>
            </w:r>
          </w:p>
          <w:p w14:paraId="13AFFD4E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45%</w:t>
            </w:r>
          </w:p>
        </w:tc>
        <w:tc>
          <w:tcPr>
            <w:tcW w:w="372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EB6C4FE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1.教学材料准备充分，教学方法运用灵活、恰当；课堂时间安排合理。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CEE188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15</w:t>
            </w:r>
          </w:p>
        </w:tc>
      </w:tr>
      <w:tr w14:paraId="7D3C8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57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0969A37">
            <w:pPr>
              <w:widowControl/>
              <w:spacing w:line="400" w:lineRule="exact"/>
              <w:jc w:val="lef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</w:p>
        </w:tc>
        <w:tc>
          <w:tcPr>
            <w:tcW w:w="372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F411600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2.注重对学生分析和解决问题能力的培养。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A27023C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10</w:t>
            </w:r>
          </w:p>
        </w:tc>
      </w:tr>
      <w:tr w14:paraId="4EB36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exact"/>
          <w:jc w:val="center"/>
        </w:trPr>
        <w:tc>
          <w:tcPr>
            <w:tcW w:w="557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F856832">
            <w:pPr>
              <w:widowControl/>
              <w:spacing w:line="400" w:lineRule="exact"/>
              <w:jc w:val="lef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</w:p>
        </w:tc>
        <w:tc>
          <w:tcPr>
            <w:tcW w:w="372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50C0880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3.熟练、有效地</w:t>
            </w: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lang w:eastAsia="zh-CN"/>
              </w:rPr>
              <w:t>使</w:t>
            </w: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用多媒体等现代化教学手段，</w:t>
            </w: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lang w:eastAsia="zh-CN"/>
              </w:rPr>
              <w:t>体现人工智能赋能教育教学元素。</w:t>
            </w: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板书设计与多媒体配合，相得益彰，与教学内容紧密联系。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73AFE3F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10</w:t>
            </w:r>
          </w:p>
        </w:tc>
      </w:tr>
      <w:tr w14:paraId="41C3C1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57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C3F5BE8">
            <w:pPr>
              <w:widowControl/>
              <w:spacing w:line="400" w:lineRule="exact"/>
              <w:jc w:val="lef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</w:p>
        </w:tc>
        <w:tc>
          <w:tcPr>
            <w:tcW w:w="372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1715EDD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4.语言表达清晰流畅，准确生动，语速恰当，肢体语言恰当，教态自然大方得体，精神饱满。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513E82F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10</w:t>
            </w:r>
          </w:p>
        </w:tc>
      </w:tr>
      <w:tr w14:paraId="07F02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57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7AF248D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教学效果</w:t>
            </w:r>
          </w:p>
          <w:p w14:paraId="4D2B5A4E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22%</w:t>
            </w:r>
          </w:p>
        </w:tc>
        <w:tc>
          <w:tcPr>
            <w:tcW w:w="372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7EAEC6F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1.教学具有吸引力、感染力。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36794C3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12</w:t>
            </w:r>
          </w:p>
        </w:tc>
      </w:tr>
      <w:tr w14:paraId="0035D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57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67181DE">
            <w:pPr>
              <w:widowControl/>
              <w:spacing w:line="400" w:lineRule="exact"/>
              <w:jc w:val="lef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</w:p>
        </w:tc>
        <w:tc>
          <w:tcPr>
            <w:tcW w:w="3728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4D2DA60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2.课堂应变能力强，与学生互动好，临场发挥有亮点。</w:t>
            </w:r>
          </w:p>
        </w:tc>
        <w:tc>
          <w:tcPr>
            <w:tcW w:w="71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3BFB46D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10</w:t>
            </w:r>
          </w:p>
        </w:tc>
      </w:tr>
    </w:tbl>
    <w:p w14:paraId="2849D304">
      <w:pPr>
        <w:rPr>
          <w:rFonts w:ascii="Times New Roman" w:hAnsi="Times New Roman" w:eastAsia="仿宋"/>
          <w:b/>
          <w:sz w:val="32"/>
          <w:szCs w:val="32"/>
        </w:rPr>
      </w:pPr>
    </w:p>
    <w:p w14:paraId="764B1977">
      <w:pPr>
        <w:jc w:val="center"/>
        <w:rPr>
          <w:rFonts w:ascii="Times New Roman" w:hAnsi="Times New Roman" w:eastAsia="仿宋"/>
          <w:b/>
          <w:sz w:val="32"/>
          <w:szCs w:val="32"/>
        </w:rPr>
      </w:pPr>
      <w:r>
        <w:rPr>
          <w:rFonts w:hint="eastAsia" w:ascii="Times New Roman" w:hAnsi="Times New Roman" w:eastAsia="仿宋"/>
          <w:b/>
          <w:sz w:val="32"/>
          <w:szCs w:val="32"/>
        </w:rPr>
        <w:t>理工类赛事评价指标</w:t>
      </w:r>
    </w:p>
    <w:p w14:paraId="465EF774">
      <w:pPr>
        <w:jc w:val="center"/>
        <w:rPr>
          <w:rFonts w:ascii="Times New Roman" w:hAnsi="Times New Roman" w:eastAsia="仿宋"/>
          <w:b/>
          <w:sz w:val="32"/>
          <w:szCs w:val="32"/>
        </w:rPr>
      </w:pPr>
      <w:r>
        <w:rPr>
          <w:rFonts w:hint="eastAsia" w:ascii="Times New Roman" w:hAnsi="Times New Roman" w:eastAsia="仿宋" w:cs="楷体_GB2312"/>
          <w:color w:val="000000"/>
          <w:sz w:val="32"/>
          <w:szCs w:val="32"/>
        </w:rPr>
        <w:t>（量表满分100分，加权后占总分60分）</w:t>
      </w:r>
    </w:p>
    <w:tbl>
      <w:tblPr>
        <w:tblStyle w:val="12"/>
        <w:tblW w:w="4754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6084"/>
        <w:gridCol w:w="1140"/>
      </w:tblGrid>
      <w:tr w14:paraId="33D4D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4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D57F24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</w:rPr>
              <w:t>一级指标</w:t>
            </w:r>
          </w:p>
        </w:tc>
        <w:tc>
          <w:tcPr>
            <w:tcW w:w="37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F93DB42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</w:rPr>
              <w:t>二级指标</w:t>
            </w:r>
          </w:p>
        </w:tc>
        <w:tc>
          <w:tcPr>
            <w:tcW w:w="70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369B833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bCs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000000"/>
                <w:kern w:val="0"/>
                <w:sz w:val="28"/>
              </w:rPr>
              <w:t>分值</w:t>
            </w:r>
          </w:p>
        </w:tc>
      </w:tr>
      <w:tr w14:paraId="58A4F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43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D8590FE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教学内容45%</w:t>
            </w:r>
          </w:p>
        </w:tc>
        <w:tc>
          <w:tcPr>
            <w:tcW w:w="37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8FCF2D3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1.凸显立德树人和课程思政的要求。</w:t>
            </w:r>
          </w:p>
        </w:tc>
        <w:tc>
          <w:tcPr>
            <w:tcW w:w="70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D450DC1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10</w:t>
            </w:r>
          </w:p>
        </w:tc>
      </w:tr>
      <w:tr w14:paraId="302C39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43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0DBAD00">
            <w:pPr>
              <w:widowControl/>
              <w:spacing w:line="400" w:lineRule="exact"/>
              <w:jc w:val="lef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</w:p>
        </w:tc>
        <w:tc>
          <w:tcPr>
            <w:tcW w:w="37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3D14619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2.体现专业育人目标和特色。</w:t>
            </w:r>
          </w:p>
        </w:tc>
        <w:tc>
          <w:tcPr>
            <w:tcW w:w="70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E25FB76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10</w:t>
            </w:r>
          </w:p>
        </w:tc>
      </w:tr>
      <w:tr w14:paraId="632F7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43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C798117">
            <w:pPr>
              <w:widowControl/>
              <w:spacing w:line="400" w:lineRule="exact"/>
              <w:jc w:val="lef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</w:p>
        </w:tc>
        <w:tc>
          <w:tcPr>
            <w:tcW w:w="37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477F2B7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3.体现优秀的学科素养和专业水准，反映学科发展前沿。</w:t>
            </w:r>
          </w:p>
        </w:tc>
        <w:tc>
          <w:tcPr>
            <w:tcW w:w="70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7051CF2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15</w:t>
            </w:r>
          </w:p>
        </w:tc>
      </w:tr>
      <w:tr w14:paraId="756F8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43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9981B0C">
            <w:pPr>
              <w:widowControl/>
              <w:spacing w:line="400" w:lineRule="exact"/>
              <w:jc w:val="lef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</w:p>
        </w:tc>
        <w:tc>
          <w:tcPr>
            <w:tcW w:w="37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60DE36D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4.教学目标明确，内容充实，重点突出，条理清楚，循序渐进，具有一定的难度、深度和广度。</w:t>
            </w:r>
          </w:p>
        </w:tc>
        <w:tc>
          <w:tcPr>
            <w:tcW w:w="70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0DBF1D6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10</w:t>
            </w:r>
          </w:p>
        </w:tc>
      </w:tr>
      <w:tr w14:paraId="701262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43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398AC16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教学组织40%</w:t>
            </w:r>
          </w:p>
        </w:tc>
        <w:tc>
          <w:tcPr>
            <w:tcW w:w="37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04948F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1.教学材料准备充分，教学方法运用灵活、恰当；课堂时间安排合理。</w:t>
            </w:r>
          </w:p>
        </w:tc>
        <w:tc>
          <w:tcPr>
            <w:tcW w:w="70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99A6590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15</w:t>
            </w:r>
          </w:p>
        </w:tc>
      </w:tr>
      <w:tr w14:paraId="0D38F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43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128F18A">
            <w:pPr>
              <w:widowControl/>
              <w:spacing w:line="400" w:lineRule="exact"/>
              <w:jc w:val="lef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</w:p>
        </w:tc>
        <w:tc>
          <w:tcPr>
            <w:tcW w:w="37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FD3B25B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2.注重对学生分析和解决问题能力的培养。</w:t>
            </w:r>
          </w:p>
        </w:tc>
        <w:tc>
          <w:tcPr>
            <w:tcW w:w="70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16D23FA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10</w:t>
            </w:r>
          </w:p>
        </w:tc>
      </w:tr>
      <w:tr w14:paraId="0FC7A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exact"/>
          <w:jc w:val="center"/>
        </w:trPr>
        <w:tc>
          <w:tcPr>
            <w:tcW w:w="543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ECB5976">
            <w:pPr>
              <w:widowControl/>
              <w:spacing w:line="400" w:lineRule="exact"/>
              <w:jc w:val="lef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</w:p>
        </w:tc>
        <w:tc>
          <w:tcPr>
            <w:tcW w:w="37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8E85DAA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3.熟练、有效地</w:t>
            </w: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lang w:eastAsia="zh-CN"/>
              </w:rPr>
              <w:t>使</w:t>
            </w: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用多媒体等现代化教学手段，</w:t>
            </w: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  <w:lang w:eastAsia="zh-CN"/>
              </w:rPr>
              <w:t>体现人工智能赋能教育教学元素。</w:t>
            </w: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板书设计与多媒体配合，相得益彰，与教学内容紧密联系。</w:t>
            </w:r>
          </w:p>
        </w:tc>
        <w:tc>
          <w:tcPr>
            <w:tcW w:w="70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2DBC674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5</w:t>
            </w:r>
          </w:p>
        </w:tc>
      </w:tr>
      <w:tr w14:paraId="2C398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43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B369D12">
            <w:pPr>
              <w:widowControl/>
              <w:spacing w:line="400" w:lineRule="exact"/>
              <w:jc w:val="lef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</w:p>
        </w:tc>
        <w:tc>
          <w:tcPr>
            <w:tcW w:w="37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C68FB09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4.语言表达清晰流畅，准确生动，语速恰当，肢体语言恰当，教态自然大方得体，精神饱满。</w:t>
            </w:r>
          </w:p>
        </w:tc>
        <w:tc>
          <w:tcPr>
            <w:tcW w:w="70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92DFE1E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10</w:t>
            </w:r>
          </w:p>
        </w:tc>
      </w:tr>
      <w:tr w14:paraId="5AC0A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43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41A3B4A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教学效果15%</w:t>
            </w:r>
          </w:p>
        </w:tc>
        <w:tc>
          <w:tcPr>
            <w:tcW w:w="37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5842DF6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1.教学具有吸引力、感染力。</w:t>
            </w:r>
          </w:p>
        </w:tc>
        <w:tc>
          <w:tcPr>
            <w:tcW w:w="70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5F14821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5</w:t>
            </w:r>
          </w:p>
        </w:tc>
      </w:tr>
      <w:tr w14:paraId="5D12A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543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9223BA3">
            <w:pPr>
              <w:widowControl/>
              <w:spacing w:line="400" w:lineRule="exact"/>
              <w:jc w:val="lef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</w:p>
        </w:tc>
        <w:tc>
          <w:tcPr>
            <w:tcW w:w="37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A90F8C8">
            <w:pPr>
              <w:widowControl/>
              <w:spacing w:line="400" w:lineRule="exact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2.课堂应变能力强，与学生互动好，临场发挥有亮点。</w:t>
            </w:r>
          </w:p>
        </w:tc>
        <w:tc>
          <w:tcPr>
            <w:tcW w:w="70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B2CA729">
            <w:pPr>
              <w:widowControl/>
              <w:spacing w:line="400" w:lineRule="exact"/>
              <w:jc w:val="center"/>
              <w:rPr>
                <w:rFonts w:ascii="Times New Roman" w:hAnsi="Times New Roman" w:eastAsia="仿宋" w:cs="宋体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宋体"/>
                <w:color w:val="000000"/>
                <w:kern w:val="0"/>
                <w:sz w:val="28"/>
              </w:rPr>
              <w:t>10</w:t>
            </w:r>
          </w:p>
        </w:tc>
      </w:tr>
    </w:tbl>
    <w:p w14:paraId="5430800C">
      <w:pPr>
        <w:pStyle w:val="19"/>
        <w:ind w:firstLine="0" w:firstLineChars="0"/>
        <w:rPr>
          <w:rFonts w:ascii="Times New Roman" w:hAnsi="Times New Roman" w:eastAsia="仿宋"/>
          <w:sz w:val="32"/>
          <w:szCs w:val="32"/>
        </w:rPr>
      </w:pPr>
    </w:p>
    <w:p w14:paraId="669A2952">
      <w:pPr>
        <w:rPr>
          <w:rFonts w:ascii="Times New Roman" w:hAnsi="Times New Roman" w:eastAsia="仿宋" w:cs="仿宋"/>
          <w:b/>
          <w:bCs/>
          <w:sz w:val="32"/>
          <w:szCs w:val="32"/>
        </w:rPr>
      </w:pPr>
    </w:p>
    <w:p w14:paraId="55034294">
      <w:pPr>
        <w:rPr>
          <w:rFonts w:ascii="Times New Roman" w:hAnsi="Times New Roman" w:eastAsia="仿宋" w:cs="仿宋"/>
          <w:b/>
          <w:bCs/>
          <w:sz w:val="32"/>
          <w:szCs w:val="32"/>
        </w:rPr>
      </w:pPr>
      <w:r>
        <w:rPr>
          <w:rFonts w:hint="eastAsia" w:ascii="Times New Roman" w:hAnsi="Times New Roman" w:eastAsia="仿宋" w:cs="仿宋"/>
          <w:b/>
          <w:bCs/>
          <w:sz w:val="32"/>
          <w:szCs w:val="32"/>
        </w:rPr>
        <w:t>（3）学生评价指标</w:t>
      </w:r>
      <w:r>
        <w:rPr>
          <w:rFonts w:hint="eastAsia" w:ascii="Times New Roman" w:hAnsi="Times New Roman" w:eastAsia="仿宋" w:cs="楷体_GB2312"/>
          <w:color w:val="000000"/>
          <w:sz w:val="32"/>
          <w:szCs w:val="32"/>
        </w:rPr>
        <w:t>（量表满分30分，加权后占总分10分）</w:t>
      </w:r>
    </w:p>
    <w:tbl>
      <w:tblPr>
        <w:tblStyle w:val="1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1219"/>
        <w:gridCol w:w="1284"/>
        <w:gridCol w:w="1277"/>
        <w:gridCol w:w="1383"/>
        <w:gridCol w:w="1278"/>
        <w:gridCol w:w="1359"/>
      </w:tblGrid>
      <w:tr w14:paraId="456D9D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291" w:type="dxa"/>
            <w:vAlign w:val="center"/>
          </w:tcPr>
          <w:p w14:paraId="2F4BF001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</w:rPr>
              <w:t>教学</w:t>
            </w:r>
          </w:p>
          <w:p w14:paraId="7A61E17D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</w:rPr>
              <w:t>效果</w:t>
            </w:r>
          </w:p>
        </w:tc>
        <w:tc>
          <w:tcPr>
            <w:tcW w:w="2503" w:type="dxa"/>
            <w:gridSpan w:val="2"/>
            <w:vAlign w:val="center"/>
          </w:tcPr>
          <w:p w14:paraId="64643A1B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</w:rPr>
              <w:t>听</w:t>
            </w:r>
          </w:p>
        </w:tc>
        <w:tc>
          <w:tcPr>
            <w:tcW w:w="2660" w:type="dxa"/>
            <w:gridSpan w:val="2"/>
            <w:vAlign w:val="center"/>
          </w:tcPr>
          <w:p w14:paraId="25387321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</w:rPr>
              <w:t>看</w:t>
            </w:r>
          </w:p>
        </w:tc>
        <w:tc>
          <w:tcPr>
            <w:tcW w:w="2637" w:type="dxa"/>
            <w:gridSpan w:val="2"/>
            <w:vAlign w:val="center"/>
          </w:tcPr>
          <w:p w14:paraId="5A72506F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</w:rPr>
              <w:t>学</w:t>
            </w:r>
          </w:p>
        </w:tc>
      </w:tr>
      <w:tr w14:paraId="134152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291" w:type="dxa"/>
            <w:vAlign w:val="center"/>
          </w:tcPr>
          <w:p w14:paraId="3B52AD2B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</w:rPr>
              <w:t>评价</w:t>
            </w:r>
          </w:p>
          <w:p w14:paraId="3A79B52C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</w:rPr>
              <w:t>标准</w:t>
            </w:r>
          </w:p>
        </w:tc>
        <w:tc>
          <w:tcPr>
            <w:tcW w:w="1219" w:type="dxa"/>
            <w:vAlign w:val="center"/>
          </w:tcPr>
          <w:p w14:paraId="41638B7F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</w:rPr>
              <w:t>容易</w:t>
            </w:r>
          </w:p>
          <w:p w14:paraId="45A68206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</w:rPr>
              <w:t>理解</w:t>
            </w:r>
          </w:p>
        </w:tc>
        <w:tc>
          <w:tcPr>
            <w:tcW w:w="1284" w:type="dxa"/>
            <w:vAlign w:val="center"/>
          </w:tcPr>
          <w:p w14:paraId="0C251CE6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</w:rPr>
              <w:t>语言</w:t>
            </w:r>
          </w:p>
          <w:p w14:paraId="39F41DC6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</w:rPr>
              <w:t>得当</w:t>
            </w:r>
          </w:p>
        </w:tc>
        <w:tc>
          <w:tcPr>
            <w:tcW w:w="1277" w:type="dxa"/>
            <w:vAlign w:val="center"/>
          </w:tcPr>
          <w:p w14:paraId="07DE8B77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</w:rPr>
              <w:t>演示</w:t>
            </w:r>
          </w:p>
          <w:p w14:paraId="27BB1555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</w:rPr>
              <w:t>生动</w:t>
            </w:r>
          </w:p>
        </w:tc>
        <w:tc>
          <w:tcPr>
            <w:tcW w:w="1383" w:type="dxa"/>
            <w:vAlign w:val="center"/>
          </w:tcPr>
          <w:p w14:paraId="68D95E92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</w:rPr>
              <w:t>形象</w:t>
            </w:r>
          </w:p>
          <w:p w14:paraId="0AB83438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</w:rPr>
              <w:t>有趣</w:t>
            </w:r>
          </w:p>
        </w:tc>
        <w:tc>
          <w:tcPr>
            <w:tcW w:w="1278" w:type="dxa"/>
            <w:vAlign w:val="center"/>
          </w:tcPr>
          <w:p w14:paraId="042E228A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</w:rPr>
              <w:t>触动</w:t>
            </w:r>
          </w:p>
          <w:p w14:paraId="7379EF13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</w:rPr>
              <w:t>较大</w:t>
            </w:r>
          </w:p>
        </w:tc>
        <w:tc>
          <w:tcPr>
            <w:tcW w:w="1359" w:type="dxa"/>
            <w:vAlign w:val="center"/>
          </w:tcPr>
          <w:p w14:paraId="42C70328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</w:rPr>
              <w:t>富有</w:t>
            </w:r>
          </w:p>
          <w:p w14:paraId="45413720">
            <w:pPr>
              <w:widowControl/>
              <w:spacing w:line="400" w:lineRule="exact"/>
              <w:jc w:val="center"/>
              <w:rPr>
                <w:rFonts w:ascii="黑体" w:hAnsi="黑体" w:eastAsia="黑体" w:cs="黑体"/>
                <w:b/>
                <w:color w:val="000000"/>
                <w:kern w:val="0"/>
                <w:sz w:val="28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kern w:val="0"/>
                <w:sz w:val="28"/>
              </w:rPr>
              <w:t>启发</w:t>
            </w:r>
          </w:p>
        </w:tc>
      </w:tr>
      <w:tr w14:paraId="647A7F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291" w:type="dxa"/>
            <w:vAlign w:val="center"/>
          </w:tcPr>
          <w:p w14:paraId="1F2A539C">
            <w:pPr>
              <w:widowControl/>
              <w:spacing w:line="400" w:lineRule="exact"/>
              <w:jc w:val="center"/>
              <w:rPr>
                <w:rFonts w:ascii="Times New Roman" w:hAnsi="Times New Roman" w:eastAsia="仿宋" w:cs="仿宋"/>
                <w:b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kern w:val="0"/>
                <w:sz w:val="28"/>
              </w:rPr>
              <w:t>标准</w:t>
            </w:r>
          </w:p>
          <w:p w14:paraId="75C8718F">
            <w:pPr>
              <w:widowControl/>
              <w:spacing w:line="40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kern w:val="0"/>
                <w:sz w:val="28"/>
              </w:rPr>
              <w:t>说明</w:t>
            </w:r>
          </w:p>
        </w:tc>
        <w:tc>
          <w:tcPr>
            <w:tcW w:w="1219" w:type="dxa"/>
            <w:vAlign w:val="center"/>
          </w:tcPr>
          <w:p w14:paraId="482C7F77">
            <w:pPr>
              <w:widowControl/>
              <w:spacing w:line="400" w:lineRule="exact"/>
              <w:rPr>
                <w:rFonts w:ascii="Times New Roman" w:hAnsi="Times New Roman" w:eastAsia="仿宋" w:cs="仿宋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8"/>
              </w:rPr>
              <w:t>讲述清楚明白，讲授有逻辑，知识容易消化。</w:t>
            </w:r>
          </w:p>
        </w:tc>
        <w:tc>
          <w:tcPr>
            <w:tcW w:w="1284" w:type="dxa"/>
            <w:vAlign w:val="center"/>
          </w:tcPr>
          <w:p w14:paraId="0BD5C014">
            <w:pPr>
              <w:widowControl/>
              <w:spacing w:line="400" w:lineRule="exact"/>
              <w:rPr>
                <w:rFonts w:ascii="Times New Roman" w:hAnsi="Times New Roman" w:eastAsia="仿宋" w:cs="仿宋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8"/>
              </w:rPr>
              <w:t>语言有吸引力，我的注意力始终都很集中。</w:t>
            </w:r>
          </w:p>
        </w:tc>
        <w:tc>
          <w:tcPr>
            <w:tcW w:w="1277" w:type="dxa"/>
            <w:vAlign w:val="center"/>
          </w:tcPr>
          <w:p w14:paraId="0DFA7450">
            <w:pPr>
              <w:widowControl/>
              <w:spacing w:line="400" w:lineRule="exact"/>
              <w:rPr>
                <w:rFonts w:ascii="Times New Roman" w:hAnsi="Times New Roman" w:eastAsia="仿宋" w:cs="仿宋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8"/>
              </w:rPr>
              <w:t>演示内容丰富，直观，令我难忘。</w:t>
            </w:r>
          </w:p>
        </w:tc>
        <w:tc>
          <w:tcPr>
            <w:tcW w:w="1383" w:type="dxa"/>
            <w:vAlign w:val="center"/>
          </w:tcPr>
          <w:p w14:paraId="7D14FC64">
            <w:pPr>
              <w:widowControl/>
              <w:spacing w:line="400" w:lineRule="exact"/>
              <w:rPr>
                <w:rFonts w:ascii="Times New Roman" w:hAnsi="Times New Roman" w:eastAsia="仿宋" w:cs="仿宋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8"/>
              </w:rPr>
              <w:t>教学情景引人入胜，让我较好理解了内容。</w:t>
            </w:r>
          </w:p>
        </w:tc>
        <w:tc>
          <w:tcPr>
            <w:tcW w:w="1278" w:type="dxa"/>
            <w:vAlign w:val="center"/>
          </w:tcPr>
          <w:p w14:paraId="28986769">
            <w:pPr>
              <w:widowControl/>
              <w:spacing w:line="400" w:lineRule="exact"/>
              <w:rPr>
                <w:rFonts w:ascii="Times New Roman" w:hAnsi="Times New Roman" w:eastAsia="仿宋" w:cs="仿宋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8"/>
              </w:rPr>
              <w:t>让我想探索更多知识，提升了我的认知技能。</w:t>
            </w:r>
          </w:p>
        </w:tc>
        <w:tc>
          <w:tcPr>
            <w:tcW w:w="1359" w:type="dxa"/>
            <w:vAlign w:val="center"/>
          </w:tcPr>
          <w:p w14:paraId="2B90271C">
            <w:pPr>
              <w:widowControl/>
              <w:spacing w:line="400" w:lineRule="exact"/>
              <w:rPr>
                <w:rFonts w:ascii="Times New Roman" w:hAnsi="Times New Roman" w:eastAsia="仿宋" w:cs="仿宋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8"/>
              </w:rPr>
              <w:t>引起了我的深度思考，获得了一些重要启示。</w:t>
            </w:r>
          </w:p>
        </w:tc>
      </w:tr>
      <w:tr w14:paraId="61F90D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291" w:type="dxa"/>
            <w:vAlign w:val="center"/>
          </w:tcPr>
          <w:p w14:paraId="73C289F5">
            <w:pPr>
              <w:widowControl/>
              <w:spacing w:line="40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仿宋"/>
                <w:b/>
                <w:color w:val="000000"/>
                <w:kern w:val="0"/>
                <w:sz w:val="28"/>
              </w:rPr>
              <w:t>分值</w:t>
            </w:r>
          </w:p>
        </w:tc>
        <w:tc>
          <w:tcPr>
            <w:tcW w:w="1219" w:type="dxa"/>
            <w:vAlign w:val="center"/>
          </w:tcPr>
          <w:p w14:paraId="191968DB">
            <w:pPr>
              <w:widowControl/>
              <w:spacing w:line="40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8"/>
              </w:rPr>
              <w:t>5</w:t>
            </w:r>
          </w:p>
        </w:tc>
        <w:tc>
          <w:tcPr>
            <w:tcW w:w="1284" w:type="dxa"/>
            <w:vAlign w:val="center"/>
          </w:tcPr>
          <w:p w14:paraId="1FBE856E">
            <w:pPr>
              <w:widowControl/>
              <w:spacing w:line="40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8"/>
              </w:rPr>
              <w:t>5</w:t>
            </w:r>
          </w:p>
        </w:tc>
        <w:tc>
          <w:tcPr>
            <w:tcW w:w="1277" w:type="dxa"/>
            <w:vAlign w:val="center"/>
          </w:tcPr>
          <w:p w14:paraId="2D09A0FB">
            <w:pPr>
              <w:widowControl/>
              <w:spacing w:line="40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8"/>
              </w:rPr>
              <w:t>3</w:t>
            </w:r>
          </w:p>
        </w:tc>
        <w:tc>
          <w:tcPr>
            <w:tcW w:w="1383" w:type="dxa"/>
            <w:vAlign w:val="center"/>
          </w:tcPr>
          <w:p w14:paraId="488E89AA">
            <w:pPr>
              <w:widowControl/>
              <w:spacing w:line="40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8"/>
              </w:rPr>
              <w:t>3</w:t>
            </w:r>
          </w:p>
        </w:tc>
        <w:tc>
          <w:tcPr>
            <w:tcW w:w="1278" w:type="dxa"/>
            <w:vAlign w:val="center"/>
          </w:tcPr>
          <w:p w14:paraId="68C3C0E5">
            <w:pPr>
              <w:widowControl/>
              <w:spacing w:line="40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8"/>
              </w:rPr>
              <w:t>6</w:t>
            </w:r>
          </w:p>
        </w:tc>
        <w:tc>
          <w:tcPr>
            <w:tcW w:w="1359" w:type="dxa"/>
            <w:vAlign w:val="center"/>
          </w:tcPr>
          <w:p w14:paraId="0E26D16F">
            <w:pPr>
              <w:widowControl/>
              <w:spacing w:line="400" w:lineRule="exact"/>
              <w:jc w:val="center"/>
              <w:rPr>
                <w:rFonts w:ascii="Times New Roman" w:hAnsi="Times New Roman" w:eastAsia="仿宋" w:cs="仿宋"/>
                <w:color w:val="000000"/>
                <w:kern w:val="0"/>
                <w:sz w:val="28"/>
              </w:rPr>
            </w:pPr>
            <w:r>
              <w:rPr>
                <w:rFonts w:hint="eastAsia" w:ascii="Times New Roman" w:hAnsi="Times New Roman" w:eastAsia="仿宋" w:cs="仿宋"/>
                <w:color w:val="000000"/>
                <w:kern w:val="0"/>
                <w:sz w:val="28"/>
              </w:rPr>
              <w:t>8</w:t>
            </w:r>
          </w:p>
        </w:tc>
      </w:tr>
    </w:tbl>
    <w:p w14:paraId="2656594C">
      <w:pPr>
        <w:pStyle w:val="23"/>
        <w:rPr>
          <w:rFonts w:eastAsia="仿宋"/>
          <w:sz w:val="32"/>
          <w:szCs w:val="32"/>
        </w:rPr>
      </w:pPr>
    </w:p>
    <w:p w14:paraId="1B7EE5BC">
      <w:pPr>
        <w:widowControl/>
        <w:jc w:val="left"/>
        <w:rPr>
          <w:rFonts w:ascii="Times New Roman" w:hAnsi="Times New Roman" w:eastAsia="仿宋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B9B5B3F-113C-4D32-92B6-E39D97A1832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50AA4D5-848A-4541-96F0-B7A150748D8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9336700-CAD4-402B-98C4-9A43CD2E512F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1A40E51-7F75-45F7-A236-8FFA9230183A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81379555"/>
    </w:sdtPr>
    <w:sdtContent>
      <w:p w14:paraId="5BAA9EA2">
        <w:pPr>
          <w:pStyle w:val="8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20</w:t>
        </w:r>
        <w:r>
          <w:fldChar w:fldCharType="end"/>
        </w:r>
      </w:p>
    </w:sdtContent>
  </w:sdt>
  <w:p w14:paraId="5E195248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zMTFjZTBmZGRlYWU0YmEyY2U4ZTNiYmM1OGI3MmYifQ=="/>
  </w:docVars>
  <w:rsids>
    <w:rsidRoot w:val="006F0E6B"/>
    <w:rsid w:val="000059B7"/>
    <w:rsid w:val="00011B93"/>
    <w:rsid w:val="00030A5B"/>
    <w:rsid w:val="00035B62"/>
    <w:rsid w:val="00046EDE"/>
    <w:rsid w:val="000477AB"/>
    <w:rsid w:val="00050F9D"/>
    <w:rsid w:val="000546F6"/>
    <w:rsid w:val="000558EA"/>
    <w:rsid w:val="00065F0F"/>
    <w:rsid w:val="0008296E"/>
    <w:rsid w:val="0008460F"/>
    <w:rsid w:val="00086573"/>
    <w:rsid w:val="00093A6C"/>
    <w:rsid w:val="000A0C8B"/>
    <w:rsid w:val="000A6C97"/>
    <w:rsid w:val="000B0552"/>
    <w:rsid w:val="000B0F4B"/>
    <w:rsid w:val="000B6F72"/>
    <w:rsid w:val="000C5E8D"/>
    <w:rsid w:val="000D728C"/>
    <w:rsid w:val="00111866"/>
    <w:rsid w:val="0012163D"/>
    <w:rsid w:val="001338BF"/>
    <w:rsid w:val="001352AB"/>
    <w:rsid w:val="00150758"/>
    <w:rsid w:val="001604CD"/>
    <w:rsid w:val="00161E81"/>
    <w:rsid w:val="001678CE"/>
    <w:rsid w:val="00171D11"/>
    <w:rsid w:val="00175515"/>
    <w:rsid w:val="0018290B"/>
    <w:rsid w:val="00191767"/>
    <w:rsid w:val="001935C1"/>
    <w:rsid w:val="001A0457"/>
    <w:rsid w:val="001A310A"/>
    <w:rsid w:val="001B09E6"/>
    <w:rsid w:val="001C413D"/>
    <w:rsid w:val="001D4625"/>
    <w:rsid w:val="001D492A"/>
    <w:rsid w:val="001D6D1E"/>
    <w:rsid w:val="001E5EA6"/>
    <w:rsid w:val="002041B4"/>
    <w:rsid w:val="002251CB"/>
    <w:rsid w:val="00244CEE"/>
    <w:rsid w:val="002530A7"/>
    <w:rsid w:val="00254E99"/>
    <w:rsid w:val="00270B11"/>
    <w:rsid w:val="002757B7"/>
    <w:rsid w:val="00277F2B"/>
    <w:rsid w:val="002809E9"/>
    <w:rsid w:val="00282F99"/>
    <w:rsid w:val="002845EB"/>
    <w:rsid w:val="0029253D"/>
    <w:rsid w:val="002A00CC"/>
    <w:rsid w:val="002A247A"/>
    <w:rsid w:val="002A5083"/>
    <w:rsid w:val="002B5464"/>
    <w:rsid w:val="002C18F1"/>
    <w:rsid w:val="002D6B22"/>
    <w:rsid w:val="002F6868"/>
    <w:rsid w:val="00301EC5"/>
    <w:rsid w:val="003054BA"/>
    <w:rsid w:val="00307842"/>
    <w:rsid w:val="003139A1"/>
    <w:rsid w:val="00313DF7"/>
    <w:rsid w:val="0033031B"/>
    <w:rsid w:val="003452FE"/>
    <w:rsid w:val="003509AF"/>
    <w:rsid w:val="003540BC"/>
    <w:rsid w:val="0035464B"/>
    <w:rsid w:val="00360798"/>
    <w:rsid w:val="003646C0"/>
    <w:rsid w:val="00364F0F"/>
    <w:rsid w:val="00375B88"/>
    <w:rsid w:val="0038639E"/>
    <w:rsid w:val="003904FA"/>
    <w:rsid w:val="003A7809"/>
    <w:rsid w:val="003E7CCD"/>
    <w:rsid w:val="003F5E3F"/>
    <w:rsid w:val="004210FA"/>
    <w:rsid w:val="00424237"/>
    <w:rsid w:val="00427F06"/>
    <w:rsid w:val="0044378D"/>
    <w:rsid w:val="00447C43"/>
    <w:rsid w:val="00455F3C"/>
    <w:rsid w:val="00472C04"/>
    <w:rsid w:val="00474579"/>
    <w:rsid w:val="004830DF"/>
    <w:rsid w:val="0048451F"/>
    <w:rsid w:val="004849F5"/>
    <w:rsid w:val="00485362"/>
    <w:rsid w:val="00490E61"/>
    <w:rsid w:val="004A3892"/>
    <w:rsid w:val="004A586D"/>
    <w:rsid w:val="004A5D12"/>
    <w:rsid w:val="004A6424"/>
    <w:rsid w:val="004A6CF4"/>
    <w:rsid w:val="004C65AE"/>
    <w:rsid w:val="004E40FF"/>
    <w:rsid w:val="004F6FE3"/>
    <w:rsid w:val="00507FE3"/>
    <w:rsid w:val="005115D1"/>
    <w:rsid w:val="00512EED"/>
    <w:rsid w:val="00513173"/>
    <w:rsid w:val="00520038"/>
    <w:rsid w:val="00523381"/>
    <w:rsid w:val="00532096"/>
    <w:rsid w:val="005469B3"/>
    <w:rsid w:val="00551080"/>
    <w:rsid w:val="00566C9C"/>
    <w:rsid w:val="00570A6A"/>
    <w:rsid w:val="005777DE"/>
    <w:rsid w:val="00591BC0"/>
    <w:rsid w:val="00596D31"/>
    <w:rsid w:val="00597093"/>
    <w:rsid w:val="005A4972"/>
    <w:rsid w:val="005E2942"/>
    <w:rsid w:val="005E4894"/>
    <w:rsid w:val="005F21A7"/>
    <w:rsid w:val="005F6E0F"/>
    <w:rsid w:val="00602528"/>
    <w:rsid w:val="00605CAB"/>
    <w:rsid w:val="0061745F"/>
    <w:rsid w:val="0061749A"/>
    <w:rsid w:val="006234DC"/>
    <w:rsid w:val="006344E8"/>
    <w:rsid w:val="006711E3"/>
    <w:rsid w:val="006748B8"/>
    <w:rsid w:val="00683763"/>
    <w:rsid w:val="00695659"/>
    <w:rsid w:val="006B4D71"/>
    <w:rsid w:val="006C412D"/>
    <w:rsid w:val="006C4199"/>
    <w:rsid w:val="006C483F"/>
    <w:rsid w:val="006D016B"/>
    <w:rsid w:val="006F0E6B"/>
    <w:rsid w:val="0073306C"/>
    <w:rsid w:val="007365A0"/>
    <w:rsid w:val="00761C0C"/>
    <w:rsid w:val="0076301B"/>
    <w:rsid w:val="00770A75"/>
    <w:rsid w:val="00771A22"/>
    <w:rsid w:val="00772BAB"/>
    <w:rsid w:val="00775485"/>
    <w:rsid w:val="0079577A"/>
    <w:rsid w:val="007A6504"/>
    <w:rsid w:val="007B246F"/>
    <w:rsid w:val="007C2D27"/>
    <w:rsid w:val="007D5DA4"/>
    <w:rsid w:val="007E2A91"/>
    <w:rsid w:val="007E52F6"/>
    <w:rsid w:val="007E5569"/>
    <w:rsid w:val="007F3E96"/>
    <w:rsid w:val="007F48FF"/>
    <w:rsid w:val="007F7F1E"/>
    <w:rsid w:val="00817F4A"/>
    <w:rsid w:val="00821A30"/>
    <w:rsid w:val="008315CB"/>
    <w:rsid w:val="0083317A"/>
    <w:rsid w:val="008453D8"/>
    <w:rsid w:val="00857DA8"/>
    <w:rsid w:val="00877B3C"/>
    <w:rsid w:val="00880CD7"/>
    <w:rsid w:val="00881D39"/>
    <w:rsid w:val="00883C28"/>
    <w:rsid w:val="008B165F"/>
    <w:rsid w:val="008B60AD"/>
    <w:rsid w:val="008D15C7"/>
    <w:rsid w:val="008F2BE0"/>
    <w:rsid w:val="00900995"/>
    <w:rsid w:val="009023E2"/>
    <w:rsid w:val="0090330C"/>
    <w:rsid w:val="009062F0"/>
    <w:rsid w:val="0091006D"/>
    <w:rsid w:val="009150DF"/>
    <w:rsid w:val="00921A2C"/>
    <w:rsid w:val="009333CE"/>
    <w:rsid w:val="00935243"/>
    <w:rsid w:val="009407A3"/>
    <w:rsid w:val="009422CB"/>
    <w:rsid w:val="00944CF3"/>
    <w:rsid w:val="009451B8"/>
    <w:rsid w:val="009571BA"/>
    <w:rsid w:val="00971BF9"/>
    <w:rsid w:val="009745D5"/>
    <w:rsid w:val="009753D6"/>
    <w:rsid w:val="00986E91"/>
    <w:rsid w:val="00992915"/>
    <w:rsid w:val="00993953"/>
    <w:rsid w:val="009B2FF4"/>
    <w:rsid w:val="009B56A6"/>
    <w:rsid w:val="009B5C4C"/>
    <w:rsid w:val="009C5366"/>
    <w:rsid w:val="009D2612"/>
    <w:rsid w:val="009D36AE"/>
    <w:rsid w:val="009E70B9"/>
    <w:rsid w:val="00A035D0"/>
    <w:rsid w:val="00A07A81"/>
    <w:rsid w:val="00A1101E"/>
    <w:rsid w:val="00A1629F"/>
    <w:rsid w:val="00A16E47"/>
    <w:rsid w:val="00A2035A"/>
    <w:rsid w:val="00A253FE"/>
    <w:rsid w:val="00A26D1E"/>
    <w:rsid w:val="00A31749"/>
    <w:rsid w:val="00A36A24"/>
    <w:rsid w:val="00A52538"/>
    <w:rsid w:val="00A60F65"/>
    <w:rsid w:val="00A61AC2"/>
    <w:rsid w:val="00A707BB"/>
    <w:rsid w:val="00A71914"/>
    <w:rsid w:val="00A842E2"/>
    <w:rsid w:val="00A90D0D"/>
    <w:rsid w:val="00AA48E9"/>
    <w:rsid w:val="00AB1869"/>
    <w:rsid w:val="00AB7BB4"/>
    <w:rsid w:val="00AD60C8"/>
    <w:rsid w:val="00AE00CB"/>
    <w:rsid w:val="00AE2B60"/>
    <w:rsid w:val="00B000F8"/>
    <w:rsid w:val="00B00C22"/>
    <w:rsid w:val="00B10EF9"/>
    <w:rsid w:val="00B219B0"/>
    <w:rsid w:val="00B25684"/>
    <w:rsid w:val="00B25E64"/>
    <w:rsid w:val="00B45EEF"/>
    <w:rsid w:val="00B52690"/>
    <w:rsid w:val="00B6524A"/>
    <w:rsid w:val="00B65CBC"/>
    <w:rsid w:val="00B713A3"/>
    <w:rsid w:val="00B76EA8"/>
    <w:rsid w:val="00B80106"/>
    <w:rsid w:val="00B9108B"/>
    <w:rsid w:val="00B91BD1"/>
    <w:rsid w:val="00BA0119"/>
    <w:rsid w:val="00BA0514"/>
    <w:rsid w:val="00BA5B0A"/>
    <w:rsid w:val="00BB6743"/>
    <w:rsid w:val="00BB7984"/>
    <w:rsid w:val="00BD4B14"/>
    <w:rsid w:val="00BE7DD9"/>
    <w:rsid w:val="00C00398"/>
    <w:rsid w:val="00C01D72"/>
    <w:rsid w:val="00C13A43"/>
    <w:rsid w:val="00C156C9"/>
    <w:rsid w:val="00C33F52"/>
    <w:rsid w:val="00C348E0"/>
    <w:rsid w:val="00C528D6"/>
    <w:rsid w:val="00C561C4"/>
    <w:rsid w:val="00C56460"/>
    <w:rsid w:val="00C619A1"/>
    <w:rsid w:val="00C730E4"/>
    <w:rsid w:val="00C746E8"/>
    <w:rsid w:val="00C77E1C"/>
    <w:rsid w:val="00CA06E9"/>
    <w:rsid w:val="00CA718D"/>
    <w:rsid w:val="00CC28D8"/>
    <w:rsid w:val="00CC33B3"/>
    <w:rsid w:val="00CD3652"/>
    <w:rsid w:val="00CE369A"/>
    <w:rsid w:val="00CE476A"/>
    <w:rsid w:val="00CE58BB"/>
    <w:rsid w:val="00CE5C60"/>
    <w:rsid w:val="00CE79B0"/>
    <w:rsid w:val="00CF0EC6"/>
    <w:rsid w:val="00CF345A"/>
    <w:rsid w:val="00CF4B3B"/>
    <w:rsid w:val="00D00DF9"/>
    <w:rsid w:val="00D03ED3"/>
    <w:rsid w:val="00D224C6"/>
    <w:rsid w:val="00D268BE"/>
    <w:rsid w:val="00D27CD8"/>
    <w:rsid w:val="00D414BD"/>
    <w:rsid w:val="00D42815"/>
    <w:rsid w:val="00D44A2D"/>
    <w:rsid w:val="00D46A77"/>
    <w:rsid w:val="00D50D7B"/>
    <w:rsid w:val="00D66554"/>
    <w:rsid w:val="00D66B4D"/>
    <w:rsid w:val="00D700DC"/>
    <w:rsid w:val="00D80D85"/>
    <w:rsid w:val="00D84188"/>
    <w:rsid w:val="00D93ED6"/>
    <w:rsid w:val="00DA3F76"/>
    <w:rsid w:val="00DB1927"/>
    <w:rsid w:val="00DB6F1C"/>
    <w:rsid w:val="00DD51CE"/>
    <w:rsid w:val="00DF59A1"/>
    <w:rsid w:val="00E1751A"/>
    <w:rsid w:val="00E20DA1"/>
    <w:rsid w:val="00E260D4"/>
    <w:rsid w:val="00E345F5"/>
    <w:rsid w:val="00E36FC8"/>
    <w:rsid w:val="00E372AF"/>
    <w:rsid w:val="00E378A4"/>
    <w:rsid w:val="00E43992"/>
    <w:rsid w:val="00E55C17"/>
    <w:rsid w:val="00E652F4"/>
    <w:rsid w:val="00E67D3B"/>
    <w:rsid w:val="00E7245E"/>
    <w:rsid w:val="00E7302E"/>
    <w:rsid w:val="00E7461D"/>
    <w:rsid w:val="00E7673B"/>
    <w:rsid w:val="00E83C7E"/>
    <w:rsid w:val="00E85A03"/>
    <w:rsid w:val="00EA4982"/>
    <w:rsid w:val="00ED204E"/>
    <w:rsid w:val="00ED3C31"/>
    <w:rsid w:val="00EE010F"/>
    <w:rsid w:val="00EE148B"/>
    <w:rsid w:val="00EF58FC"/>
    <w:rsid w:val="00EF735B"/>
    <w:rsid w:val="00F03791"/>
    <w:rsid w:val="00F05A64"/>
    <w:rsid w:val="00F06A98"/>
    <w:rsid w:val="00F13BAD"/>
    <w:rsid w:val="00F1444E"/>
    <w:rsid w:val="00F144B8"/>
    <w:rsid w:val="00F20FC0"/>
    <w:rsid w:val="00F33CEB"/>
    <w:rsid w:val="00F35A6E"/>
    <w:rsid w:val="00F367CE"/>
    <w:rsid w:val="00F41395"/>
    <w:rsid w:val="00F44BA6"/>
    <w:rsid w:val="00F576A4"/>
    <w:rsid w:val="00F716D4"/>
    <w:rsid w:val="00F8771A"/>
    <w:rsid w:val="00F91122"/>
    <w:rsid w:val="00F93106"/>
    <w:rsid w:val="00FA0E48"/>
    <w:rsid w:val="00FA0FEB"/>
    <w:rsid w:val="00FA3D3F"/>
    <w:rsid w:val="00FB08BC"/>
    <w:rsid w:val="00FB4381"/>
    <w:rsid w:val="00FC0EF7"/>
    <w:rsid w:val="00FC6C4C"/>
    <w:rsid w:val="00FC784F"/>
    <w:rsid w:val="00FD0DDF"/>
    <w:rsid w:val="00FD15DD"/>
    <w:rsid w:val="00FE682A"/>
    <w:rsid w:val="00FE6F13"/>
    <w:rsid w:val="00FE6F3A"/>
    <w:rsid w:val="00FF4013"/>
    <w:rsid w:val="00FF4F42"/>
    <w:rsid w:val="01C27C15"/>
    <w:rsid w:val="01C56268"/>
    <w:rsid w:val="029C58B6"/>
    <w:rsid w:val="03C1687E"/>
    <w:rsid w:val="0490144A"/>
    <w:rsid w:val="04966335"/>
    <w:rsid w:val="06C82F1E"/>
    <w:rsid w:val="06D74324"/>
    <w:rsid w:val="08966904"/>
    <w:rsid w:val="091268D2"/>
    <w:rsid w:val="09E4575D"/>
    <w:rsid w:val="09FC4E8C"/>
    <w:rsid w:val="0A2E71D3"/>
    <w:rsid w:val="0D1B2E6C"/>
    <w:rsid w:val="0DA120A4"/>
    <w:rsid w:val="0DBE0DD6"/>
    <w:rsid w:val="0E567C5D"/>
    <w:rsid w:val="0E612151"/>
    <w:rsid w:val="0FE268D2"/>
    <w:rsid w:val="116457F1"/>
    <w:rsid w:val="119121EB"/>
    <w:rsid w:val="120E7E53"/>
    <w:rsid w:val="13D604FC"/>
    <w:rsid w:val="14872C28"/>
    <w:rsid w:val="15EC7B62"/>
    <w:rsid w:val="189A77A3"/>
    <w:rsid w:val="189B3AC2"/>
    <w:rsid w:val="18B1152E"/>
    <w:rsid w:val="197353C0"/>
    <w:rsid w:val="198D572B"/>
    <w:rsid w:val="1B785A01"/>
    <w:rsid w:val="1BFC2081"/>
    <w:rsid w:val="1C4223B5"/>
    <w:rsid w:val="1E9C64D8"/>
    <w:rsid w:val="1F1C1B35"/>
    <w:rsid w:val="1F2B5BA0"/>
    <w:rsid w:val="21863561"/>
    <w:rsid w:val="22CF11E4"/>
    <w:rsid w:val="235C7626"/>
    <w:rsid w:val="236F6D27"/>
    <w:rsid w:val="23E97DD8"/>
    <w:rsid w:val="25A653F1"/>
    <w:rsid w:val="25CD48D8"/>
    <w:rsid w:val="260971F7"/>
    <w:rsid w:val="28EA6ACC"/>
    <w:rsid w:val="2A1C2CB5"/>
    <w:rsid w:val="2A1D3923"/>
    <w:rsid w:val="2AAE13DF"/>
    <w:rsid w:val="2B131D8F"/>
    <w:rsid w:val="2D4D7629"/>
    <w:rsid w:val="2DD83397"/>
    <w:rsid w:val="2FCE7453"/>
    <w:rsid w:val="2FDE6C5E"/>
    <w:rsid w:val="3086532C"/>
    <w:rsid w:val="30C82639"/>
    <w:rsid w:val="32C52782"/>
    <w:rsid w:val="33576B0C"/>
    <w:rsid w:val="34E73EBF"/>
    <w:rsid w:val="35452F7E"/>
    <w:rsid w:val="3643781B"/>
    <w:rsid w:val="364533CB"/>
    <w:rsid w:val="38E41460"/>
    <w:rsid w:val="3B7B1805"/>
    <w:rsid w:val="3C9D3735"/>
    <w:rsid w:val="3CCB2207"/>
    <w:rsid w:val="3E39140F"/>
    <w:rsid w:val="3EE6343A"/>
    <w:rsid w:val="3F746C97"/>
    <w:rsid w:val="40AD2461"/>
    <w:rsid w:val="41645153"/>
    <w:rsid w:val="41B220EF"/>
    <w:rsid w:val="42733236"/>
    <w:rsid w:val="433E7776"/>
    <w:rsid w:val="43D0239E"/>
    <w:rsid w:val="442C53F7"/>
    <w:rsid w:val="44DC50C3"/>
    <w:rsid w:val="461D30E5"/>
    <w:rsid w:val="4723522B"/>
    <w:rsid w:val="4B026245"/>
    <w:rsid w:val="4B326241"/>
    <w:rsid w:val="4BCB7C3F"/>
    <w:rsid w:val="4C8B2129"/>
    <w:rsid w:val="4CCA4680"/>
    <w:rsid w:val="4E6D438D"/>
    <w:rsid w:val="4FE90FDC"/>
    <w:rsid w:val="5122253F"/>
    <w:rsid w:val="52B06F18"/>
    <w:rsid w:val="53F310CD"/>
    <w:rsid w:val="545B3394"/>
    <w:rsid w:val="56C65BD3"/>
    <w:rsid w:val="56DC53F6"/>
    <w:rsid w:val="57D50A07"/>
    <w:rsid w:val="58435BEE"/>
    <w:rsid w:val="58913FBE"/>
    <w:rsid w:val="5968044C"/>
    <w:rsid w:val="5CDC0DA3"/>
    <w:rsid w:val="5CE8602D"/>
    <w:rsid w:val="61761E7A"/>
    <w:rsid w:val="64E421D7"/>
    <w:rsid w:val="690E2FBD"/>
    <w:rsid w:val="6B1116BB"/>
    <w:rsid w:val="6B87197D"/>
    <w:rsid w:val="6E113780"/>
    <w:rsid w:val="6F143527"/>
    <w:rsid w:val="70D70BD1"/>
    <w:rsid w:val="71E7271F"/>
    <w:rsid w:val="71FA7438"/>
    <w:rsid w:val="72755C7E"/>
    <w:rsid w:val="72C55BC5"/>
    <w:rsid w:val="72E70F53"/>
    <w:rsid w:val="732D4BB8"/>
    <w:rsid w:val="7738429D"/>
    <w:rsid w:val="77D82F75"/>
    <w:rsid w:val="78391D4B"/>
    <w:rsid w:val="78FF0FAA"/>
    <w:rsid w:val="79AC0800"/>
    <w:rsid w:val="7ADC5C4A"/>
    <w:rsid w:val="7B641393"/>
    <w:rsid w:val="7D845D1C"/>
    <w:rsid w:val="7D9D293A"/>
    <w:rsid w:val="7F8D69D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9"/>
    <w:semiHidden/>
    <w:unhideWhenUsed/>
    <w:qFormat/>
    <w:uiPriority w:val="99"/>
    <w:pPr>
      <w:jc w:val="left"/>
    </w:pPr>
  </w:style>
  <w:style w:type="paragraph" w:styleId="5">
    <w:name w:val="Plain Text"/>
    <w:basedOn w:val="1"/>
    <w:link w:val="25"/>
    <w:qFormat/>
    <w:uiPriority w:val="99"/>
    <w:rPr>
      <w:rFonts w:ascii="宋体" w:hAnsi="Courier New"/>
      <w:szCs w:val="20"/>
    </w:rPr>
  </w:style>
  <w:style w:type="paragraph" w:styleId="6">
    <w:name w:val="Date"/>
    <w:basedOn w:val="1"/>
    <w:next w:val="1"/>
    <w:link w:val="22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annotation subject"/>
    <w:basedOn w:val="4"/>
    <w:next w:val="4"/>
    <w:link w:val="30"/>
    <w:semiHidden/>
    <w:unhideWhenUsed/>
    <w:qFormat/>
    <w:uiPriority w:val="99"/>
    <w:rPr>
      <w:b/>
      <w:bCs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Hyperlink"/>
    <w:basedOn w:val="14"/>
    <w:unhideWhenUsed/>
    <w:qFormat/>
    <w:uiPriority w:val="99"/>
    <w:rPr>
      <w:color w:val="0000FF"/>
      <w:u w:val="single"/>
    </w:rPr>
  </w:style>
  <w:style w:type="character" w:styleId="16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7">
    <w:name w:val="页眉 字符"/>
    <w:basedOn w:val="14"/>
    <w:link w:val="9"/>
    <w:qFormat/>
    <w:uiPriority w:val="99"/>
    <w:rPr>
      <w:sz w:val="18"/>
      <w:szCs w:val="18"/>
    </w:rPr>
  </w:style>
  <w:style w:type="character" w:customStyle="1" w:styleId="18">
    <w:name w:val="页脚 字符"/>
    <w:basedOn w:val="14"/>
    <w:link w:val="8"/>
    <w:qFormat/>
    <w:uiPriority w:val="99"/>
    <w:rPr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标题 1 字符"/>
    <w:basedOn w:val="14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1">
    <w:name w:val="标题 2 字符"/>
    <w:basedOn w:val="14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2">
    <w:name w:val="日期 字符"/>
    <w:basedOn w:val="14"/>
    <w:link w:val="6"/>
    <w:semiHidden/>
    <w:qFormat/>
    <w:uiPriority w:val="99"/>
    <w:rPr>
      <w:rFonts w:ascii="Calibri" w:hAnsi="Calibri" w:eastAsia="宋体" w:cs="Times New Roman"/>
    </w:rPr>
  </w:style>
  <w:style w:type="paragraph" w:customStyle="1" w:styleId="23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4">
    <w:name w:val="批注框文本 字符"/>
    <w:basedOn w:val="14"/>
    <w:link w:val="7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5">
    <w:name w:val="纯文本 字符"/>
    <w:basedOn w:val="14"/>
    <w:link w:val="5"/>
    <w:qFormat/>
    <w:uiPriority w:val="99"/>
    <w:rPr>
      <w:rFonts w:ascii="宋体" w:hAnsi="Courier New" w:eastAsia="宋体" w:cs="Times New Roman"/>
      <w:szCs w:val="20"/>
    </w:rPr>
  </w:style>
  <w:style w:type="paragraph" w:customStyle="1" w:styleId="26">
    <w:name w:val="修订1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修订2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8">
    <w:name w:val="无间隔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9">
    <w:name w:val="批注文字 字符"/>
    <w:basedOn w:val="14"/>
    <w:link w:val="4"/>
    <w:semiHidden/>
    <w:qFormat/>
    <w:uiPriority w:val="99"/>
    <w:rPr>
      <w:rFonts w:ascii="Calibri" w:hAnsi="Calibri"/>
      <w:kern w:val="2"/>
      <w:sz w:val="21"/>
      <w:szCs w:val="22"/>
    </w:rPr>
  </w:style>
  <w:style w:type="character" w:customStyle="1" w:styleId="30">
    <w:name w:val="批注主题 字符"/>
    <w:basedOn w:val="29"/>
    <w:link w:val="11"/>
    <w:semiHidden/>
    <w:qFormat/>
    <w:uiPriority w:val="99"/>
    <w:rPr>
      <w:rFonts w:ascii="Calibri" w:hAnsi="Calibr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10DDF-3CA9-4466-B1A4-ACB6AEE181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1606</Words>
  <Characters>1681</Characters>
  <Lines>56</Lines>
  <Paragraphs>15</Paragraphs>
  <TotalTime>0</TotalTime>
  <ScaleCrop>false</ScaleCrop>
  <LinksUpToDate>false</LinksUpToDate>
  <CharactersWithSpaces>1681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2022-09-21T01:30:00Z</dcterms:created>
  <dc:creator>郑淇允</dc:creator>
  <cp:lastModifiedBy>刘培彧</cp:lastModifiedBy>
  <cp:lastPrinted>2024-09-12T03:09:00Z</cp:lastPrinted>
  <dcterms:modified xsi:type="dcterms:W3CDTF">2026-09-16T00:12:31Z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1698A8A662E047868B066F8F2F18DCBE</vt:lpwstr>
  </property>
  <property fmtid="{D5CDD505-2E9C-101B-9397-08002B2CF9AE}" pid="4" name="KSOTemplateDocerSaveRecord">
    <vt:lpwstr>eyJoZGlkIjoiYjY4MTJkYWExYWNlNjJmYzczOTRkZDYzN2NlMWJhMDAiLCJ1c2VySWQiOiIyOTUwNTUxMDIifQ==</vt:lpwstr>
  </property>
</Properties>
</file>